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3" w:rsidRPr="00045A33" w:rsidRDefault="00045A33" w:rsidP="00045A33">
      <w:pPr>
        <w:spacing w:after="0" w:line="240" w:lineRule="auto"/>
        <w:jc w:val="center"/>
        <w:rPr>
          <w:b/>
        </w:rPr>
      </w:pPr>
      <w:r w:rsidRPr="00045A33">
        <w:rPr>
          <w:b/>
        </w:rPr>
        <w:t>МЕТОДИЧЕСКИЕ РЕКОМЕНДАЦИИ</w:t>
      </w:r>
    </w:p>
    <w:p w:rsidR="00045A33" w:rsidRDefault="00045A33" w:rsidP="00045A33">
      <w:pPr>
        <w:spacing w:after="0" w:line="240" w:lineRule="auto"/>
        <w:jc w:val="center"/>
      </w:pPr>
      <w:r>
        <w:t>по вопросам  предоставления  сведений о доходах, расходах, имуществе и обязательствах имущественного характера  в 2021 году</w:t>
      </w:r>
    </w:p>
    <w:p w:rsidR="00045A33" w:rsidRDefault="00045A33" w:rsidP="00045A33">
      <w:pPr>
        <w:spacing w:after="0" w:line="240" w:lineRule="auto"/>
        <w:jc w:val="center"/>
      </w:pPr>
      <w:r>
        <w:t xml:space="preserve"> (за отчетный 2020 год)</w:t>
      </w:r>
    </w:p>
    <w:p w:rsidR="00CB34A8" w:rsidRDefault="00CB34A8" w:rsidP="00045A33">
      <w:pPr>
        <w:spacing w:after="0" w:line="240" w:lineRule="auto"/>
        <w:jc w:val="center"/>
      </w:pPr>
    </w:p>
    <w:p w:rsidR="00CB34A8" w:rsidRDefault="00CB34A8" w:rsidP="00CB34A8">
      <w:pPr>
        <w:ind w:firstLine="709"/>
        <w:jc w:val="both"/>
        <w:rPr>
          <w:szCs w:val="28"/>
        </w:rPr>
      </w:pPr>
      <w:r>
        <w:rPr>
          <w:szCs w:val="28"/>
        </w:rPr>
        <w:t>Данные методические рекомендации  подготовлены для применения  в ходе декларационной кампании 2021 года с учетом изменений,  подготовленных Министерством труда и социальной защиты Российской Федерации (письмо от 29.12.2020 г. № 18-2/10/В-12837).</w:t>
      </w:r>
    </w:p>
    <w:p w:rsidR="00715CC1" w:rsidRDefault="00CB34A8" w:rsidP="00CB34A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С</w:t>
      </w:r>
      <w:r w:rsidRPr="00CB34A8">
        <w:rPr>
          <w:szCs w:val="28"/>
        </w:rPr>
        <w:t xml:space="preserve">ведения о доходах, </w:t>
      </w:r>
      <w:r>
        <w:rPr>
          <w:szCs w:val="28"/>
        </w:rPr>
        <w:t xml:space="preserve">расходах, </w:t>
      </w:r>
      <w:r w:rsidRPr="00CB34A8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 xml:space="preserve">(далее – Сведения) </w:t>
      </w:r>
      <w:r w:rsidRPr="00CB34A8">
        <w:rPr>
          <w:szCs w:val="28"/>
        </w:rPr>
        <w:t xml:space="preserve">представляются по утвержденной Президентом Российской Федерации </w:t>
      </w:r>
      <w:hyperlink r:id="rId5" w:history="1">
        <w:r w:rsidRPr="00CB34A8">
          <w:rPr>
            <w:szCs w:val="28"/>
          </w:rPr>
          <w:t>форме</w:t>
        </w:r>
      </w:hyperlink>
      <w:r w:rsidRPr="00CB34A8">
        <w:rPr>
          <w:szCs w:val="28"/>
        </w:rPr>
        <w:t xml:space="preserve"> справки, заполненной с использованием специального программного обеспечения "Справки БК" </w:t>
      </w:r>
      <w:r>
        <w:rPr>
          <w:szCs w:val="28"/>
        </w:rPr>
        <w:t>в новой версии 2.4.4. от 26.06.2020 г.</w:t>
      </w:r>
      <w:r w:rsidRPr="00CB34A8">
        <w:rPr>
          <w:szCs w:val="28"/>
        </w:rPr>
        <w:t xml:space="preserve">,  ссылка на который  размещена  </w:t>
      </w:r>
      <w:r>
        <w:rPr>
          <w:szCs w:val="28"/>
        </w:rPr>
        <w:t xml:space="preserve"> на сайде Департамента государственной гражданской службы и кадров Приморского края в разделе «Противодействие коррупции».</w:t>
      </w:r>
      <w:proofErr w:type="gramEnd"/>
      <w:r>
        <w:rPr>
          <w:szCs w:val="28"/>
        </w:rPr>
        <w:t xml:space="preserve"> В новой версии программы в обязательном порядке указывается </w:t>
      </w:r>
      <w:proofErr w:type="spellStart"/>
      <w:r>
        <w:rPr>
          <w:szCs w:val="28"/>
        </w:rPr>
        <w:t>СНИЛС</w:t>
      </w:r>
      <w:proofErr w:type="spellEnd"/>
      <w:r>
        <w:rPr>
          <w:szCs w:val="28"/>
        </w:rPr>
        <w:t>.</w:t>
      </w:r>
    </w:p>
    <w:p w:rsidR="00CB34A8" w:rsidRDefault="00CB34A8" w:rsidP="00CB34A8">
      <w:pPr>
        <w:ind w:firstLine="709"/>
        <w:jc w:val="both"/>
        <w:rPr>
          <w:szCs w:val="28"/>
        </w:rPr>
      </w:pPr>
      <w:r>
        <w:rPr>
          <w:szCs w:val="28"/>
        </w:rPr>
        <w:t xml:space="preserve">2. Сведения предоставляются  в период с 01 января  по 30 апреля 2021 года. </w:t>
      </w:r>
    </w:p>
    <w:p w:rsidR="0007655E" w:rsidRDefault="00CB34A8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7655E" w:rsidRPr="00AB0E45">
        <w:rPr>
          <w:b/>
          <w:szCs w:val="28"/>
        </w:rPr>
        <w:t>В разделе «Иные доходы»</w:t>
      </w:r>
      <w:r w:rsidR="0007655E">
        <w:rPr>
          <w:szCs w:val="28"/>
        </w:rPr>
        <w:t xml:space="preserve"> </w:t>
      </w:r>
    </w:p>
    <w:p w:rsidR="0007655E" w:rsidRDefault="00934434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07655E">
        <w:rPr>
          <w:szCs w:val="28"/>
        </w:rPr>
        <w:t xml:space="preserve"> Пособие по </w:t>
      </w:r>
      <w:r w:rsidR="0007655E" w:rsidRPr="00CB34A8">
        <w:rPr>
          <w:szCs w:val="28"/>
        </w:rPr>
        <w:t>временной нетрудоспособности выплачивается за первые три дня временной нетрудоспособности за счет средств страхователя, а за остальной период</w:t>
      </w:r>
      <w:r w:rsidR="00FB4D03">
        <w:rPr>
          <w:szCs w:val="28"/>
        </w:rPr>
        <w:t>,</w:t>
      </w:r>
      <w:r w:rsidR="0007655E" w:rsidRPr="00CB34A8">
        <w:rPr>
          <w:szCs w:val="28"/>
        </w:rPr>
        <w:t xml:space="preserve"> начиная с 4-го дня временной нетрудоспособности</w:t>
      </w:r>
      <w:r w:rsidR="00FB4D03">
        <w:rPr>
          <w:szCs w:val="28"/>
        </w:rPr>
        <w:t>,</w:t>
      </w:r>
      <w:r w:rsidR="0007655E" w:rsidRPr="00CB34A8">
        <w:rPr>
          <w:szCs w:val="28"/>
        </w:rPr>
        <w:t xml:space="preserve"> за счет </w:t>
      </w:r>
      <w:proofErr w:type="gramStart"/>
      <w:r w:rsidR="0007655E" w:rsidRPr="00CB34A8">
        <w:rPr>
          <w:szCs w:val="28"/>
        </w:rPr>
        <w:t>средств бюджета Фонда социального страхования Российской Федерации</w:t>
      </w:r>
      <w:proofErr w:type="gramEnd"/>
      <w:r w:rsidR="00FB4D03">
        <w:rPr>
          <w:szCs w:val="28"/>
        </w:rPr>
        <w:t>.</w:t>
      </w:r>
    </w:p>
    <w:p w:rsidR="0007655E" w:rsidRDefault="00FB4D03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целью получения  достоверных сведений о выплаченных денежных средствах  необходимо подать письменное заявление  на имя директора филиала № 5 </w:t>
      </w:r>
      <w:proofErr w:type="spellStart"/>
      <w:r>
        <w:rPr>
          <w:szCs w:val="28"/>
        </w:rPr>
        <w:t>ГУ</w:t>
      </w:r>
      <w:proofErr w:type="spellEnd"/>
      <w:r>
        <w:rPr>
          <w:szCs w:val="28"/>
        </w:rPr>
        <w:t xml:space="preserve"> – Приморского регионального отделения Фонда социального  страхования  РФ, расположенного по адресу:  692904,                          г. Находка, ул. Школьная, </w:t>
      </w:r>
      <w:proofErr w:type="spellStart"/>
      <w:r>
        <w:rPr>
          <w:szCs w:val="28"/>
        </w:rPr>
        <w:t>1а</w:t>
      </w:r>
      <w:proofErr w:type="spellEnd"/>
      <w:r>
        <w:rPr>
          <w:szCs w:val="28"/>
        </w:rPr>
        <w:t>. (</w:t>
      </w:r>
      <w:r w:rsidRPr="00664008">
        <w:rPr>
          <w:i/>
          <w:szCs w:val="28"/>
        </w:rPr>
        <w:t>образец заявления прилагается</w:t>
      </w:r>
      <w:r>
        <w:rPr>
          <w:szCs w:val="28"/>
        </w:rPr>
        <w:t>).</w:t>
      </w:r>
    </w:p>
    <w:p w:rsidR="006D420B" w:rsidRDefault="006D420B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D420B" w:rsidRDefault="00934434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 Доход от продажи недвижимого имущества.</w:t>
      </w:r>
    </w:p>
    <w:p w:rsidR="00934434" w:rsidRDefault="00934434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934434" w:rsidRDefault="00934434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Аналогично в отношении продажи имущества, находящегося в совместной собственности.</w:t>
      </w:r>
    </w:p>
    <w:p w:rsidR="00934434" w:rsidRDefault="00934434" w:rsidP="0093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67F1D" w:rsidRPr="00664008" w:rsidRDefault="00767F1D" w:rsidP="0066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64008">
        <w:rPr>
          <w:szCs w:val="28"/>
        </w:rPr>
        <w:t>3.3. Методические рекомендации дополнены пунктами, касающимися  мер социальной  и иной поддержки, оказанной в связи с  распространением новой коронавирусной инфекцией:</w:t>
      </w:r>
    </w:p>
    <w:p w:rsidR="00767F1D" w:rsidRPr="00664008" w:rsidRDefault="00664008" w:rsidP="00664008">
      <w:pPr>
        <w:pStyle w:val="ConsPlusNormal"/>
        <w:ind w:firstLine="540"/>
        <w:jc w:val="both"/>
      </w:pPr>
      <w:r w:rsidRPr="00664008">
        <w:t>В</w:t>
      </w:r>
      <w:r w:rsidR="00767F1D" w:rsidRPr="00664008">
        <w:t xml:space="preserve"> строке "Иные доходы</w:t>
      </w:r>
      <w:r w:rsidRPr="00664008">
        <w:t xml:space="preserve">» подлежат отражению </w:t>
      </w:r>
      <w:r w:rsidR="00767F1D" w:rsidRPr="00664008">
        <w:t xml:space="preserve"> следующие выплаты:</w:t>
      </w:r>
    </w:p>
    <w:p w:rsidR="00767F1D" w:rsidRPr="00664008" w:rsidRDefault="00767F1D" w:rsidP="00664008">
      <w:pPr>
        <w:pStyle w:val="ConsPlusNormal"/>
        <w:ind w:firstLine="540"/>
        <w:jc w:val="both"/>
      </w:pPr>
      <w:proofErr w:type="gramStart"/>
      <w:r w:rsidRPr="00664008">
        <w:lastRenderedPageBreak/>
        <w:t xml:space="preserve">1) ежемесячная денежная выплата на ребенка в возрасте от трех до семи лет включительно в соответствии с </w:t>
      </w:r>
      <w:hyperlink r:id="rId6" w:history="1">
        <w:r w:rsidRPr="00664008">
          <w:t>Указом</w:t>
        </w:r>
      </w:hyperlink>
      <w:r w:rsidRPr="00664008">
        <w:t xml:space="preserve"> Президента Российской Федерации от 20 марта 2020 г. </w:t>
      </w:r>
      <w:proofErr w:type="spellStart"/>
      <w:r w:rsidRPr="00664008">
        <w:t>N</w:t>
      </w:r>
      <w:proofErr w:type="spellEnd"/>
      <w:r w:rsidRPr="00664008">
        <w:t xml:space="preserve"> 199;</w:t>
      </w:r>
      <w:proofErr w:type="gramEnd"/>
    </w:p>
    <w:p w:rsidR="00767F1D" w:rsidRPr="00664008" w:rsidRDefault="00767F1D" w:rsidP="00664008">
      <w:pPr>
        <w:pStyle w:val="ConsPlusNormal"/>
        <w:ind w:firstLine="540"/>
        <w:jc w:val="both"/>
      </w:pPr>
      <w:r w:rsidRPr="00664008">
        <w:t xml:space="preserve">2) ежемесячная выплата в целях обеспечения социальной поддержки семей, имеющих детей, в соответствии с </w:t>
      </w:r>
      <w:hyperlink r:id="rId7" w:history="1">
        <w:r w:rsidRPr="00664008">
          <w:t>Указом</w:t>
        </w:r>
      </w:hyperlink>
      <w:r w:rsidRPr="00664008">
        <w:t xml:space="preserve"> Президента Российской Федерации от 7 апреля 2020 г. </w:t>
      </w:r>
      <w:proofErr w:type="spellStart"/>
      <w:r w:rsidRPr="00664008">
        <w:t>N</w:t>
      </w:r>
      <w:proofErr w:type="spellEnd"/>
      <w:r w:rsidRPr="00664008">
        <w:t xml:space="preserve"> 249;</w:t>
      </w:r>
    </w:p>
    <w:p w:rsidR="00767F1D" w:rsidRPr="00664008" w:rsidRDefault="00767F1D" w:rsidP="00664008">
      <w:pPr>
        <w:pStyle w:val="ConsPlusNormal"/>
        <w:ind w:firstLine="540"/>
        <w:jc w:val="both"/>
      </w:pPr>
      <w:r w:rsidRPr="00664008">
        <w:t xml:space="preserve">3) субсидия, предоставленная в соответствии с </w:t>
      </w:r>
      <w:hyperlink r:id="rId8" w:history="1">
        <w:r w:rsidRPr="00664008">
          <w:t>постановлением</w:t>
        </w:r>
      </w:hyperlink>
      <w:r w:rsidRPr="00664008">
        <w:t xml:space="preserve"> Правительства Российской Федерации от 29 мая 2020 г. </w:t>
      </w:r>
      <w:proofErr w:type="spellStart"/>
      <w:r w:rsidRPr="00664008">
        <w:t>N</w:t>
      </w:r>
      <w:proofErr w:type="spellEnd"/>
      <w:r w:rsidRPr="00664008">
        <w:t xml:space="preserve"> 783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коронавирусной инфекции;</w:t>
      </w:r>
    </w:p>
    <w:p w:rsidR="00767F1D" w:rsidRPr="00664008" w:rsidRDefault="00767F1D" w:rsidP="00664008">
      <w:pPr>
        <w:pStyle w:val="ConsPlusNormal"/>
        <w:ind w:firstLine="540"/>
        <w:jc w:val="both"/>
      </w:pPr>
      <w:r w:rsidRPr="00664008">
        <w:t xml:space="preserve">4) единовременная выплата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16 лет, имеющих гражданство Российской Федерации, в соответствии с </w:t>
      </w:r>
      <w:hyperlink r:id="rId9" w:history="1">
        <w:r w:rsidRPr="00664008">
          <w:t>Указом</w:t>
        </w:r>
      </w:hyperlink>
      <w:r w:rsidRPr="00664008">
        <w:t xml:space="preserve"> Президента Российской Федерации от 23 июня 2020 г. </w:t>
      </w:r>
      <w:proofErr w:type="spellStart"/>
      <w:r w:rsidRPr="00664008">
        <w:t>N</w:t>
      </w:r>
      <w:proofErr w:type="spellEnd"/>
      <w:r w:rsidRPr="00664008">
        <w:t xml:space="preserve"> 412;</w:t>
      </w:r>
    </w:p>
    <w:p w:rsidR="00664008" w:rsidRDefault="00767F1D" w:rsidP="00664008">
      <w:pPr>
        <w:pStyle w:val="ConsPlusNormal"/>
        <w:ind w:firstLine="539"/>
        <w:jc w:val="both"/>
        <w:rPr>
          <w:i/>
        </w:rPr>
      </w:pPr>
      <w:r w:rsidRPr="00664008">
        <w:t xml:space="preserve">5) единовременная выплата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восьми лет, имеющих гражданство Российской Федерации, в соответствии с </w:t>
      </w:r>
      <w:hyperlink r:id="rId10" w:history="1">
        <w:r w:rsidRPr="00664008">
          <w:t>Указом</w:t>
        </w:r>
      </w:hyperlink>
      <w:r w:rsidRPr="00664008">
        <w:t xml:space="preserve"> Президента Российской Федерации от 17 декабря 2020 г. </w:t>
      </w:r>
      <w:proofErr w:type="spellStart"/>
      <w:r w:rsidRPr="00664008">
        <w:t>N</w:t>
      </w:r>
      <w:proofErr w:type="spellEnd"/>
      <w:r w:rsidRPr="00664008">
        <w:t xml:space="preserve"> 797.</w:t>
      </w:r>
      <w:r w:rsidR="00664008" w:rsidRPr="00664008">
        <w:rPr>
          <w:i/>
        </w:rPr>
        <w:t xml:space="preserve"> Образец заявления в Пенсионный фонд РФ в г. Партизанске прилагается</w:t>
      </w:r>
      <w:r w:rsidR="00664008">
        <w:rPr>
          <w:i/>
        </w:rPr>
        <w:t>.</w:t>
      </w:r>
    </w:p>
    <w:p w:rsidR="00664008" w:rsidRDefault="00664008" w:rsidP="00664008">
      <w:pPr>
        <w:pStyle w:val="ConsPlusNormal"/>
        <w:ind w:firstLine="539"/>
        <w:jc w:val="both"/>
      </w:pPr>
      <w:r>
        <w:t xml:space="preserve">Дополнительный "налоговый капитал" ("бонус") в размере одного МРОТ (12 130 руб.), предоставленный физическим лицам, в том числе </w:t>
      </w:r>
      <w:r w:rsidRPr="004D79E6">
        <w:t xml:space="preserve">индивидуальным предпринимателям, применявшим в 2019 году специальный налоговый режим "Налог на профессиональный доход", не подлежит отражению в </w:t>
      </w:r>
      <w:hyperlink r:id="rId11" w:history="1">
        <w:r w:rsidRPr="004D79E6">
          <w:t>разделе 1</w:t>
        </w:r>
      </w:hyperlink>
      <w:r>
        <w:t xml:space="preserve"> справки.</w:t>
      </w:r>
    </w:p>
    <w:p w:rsidR="00664008" w:rsidRDefault="00664008" w:rsidP="00664008">
      <w:pPr>
        <w:pStyle w:val="ConsPlusNormal"/>
        <w:ind w:firstLine="539"/>
        <w:jc w:val="both"/>
      </w:pPr>
    </w:p>
    <w:p w:rsidR="00664008" w:rsidRDefault="00664008" w:rsidP="00664008">
      <w:pPr>
        <w:pStyle w:val="ConsPlusNormal"/>
        <w:ind w:firstLine="539"/>
        <w:jc w:val="both"/>
      </w:pPr>
      <w:r>
        <w:t xml:space="preserve">4. </w:t>
      </w:r>
      <w:r w:rsidRPr="00AB0E45">
        <w:rPr>
          <w:b/>
        </w:rPr>
        <w:t>В разделе «Сведения о расходах»</w:t>
      </w:r>
    </w:p>
    <w:p w:rsidR="00664008" w:rsidRDefault="00664008" w:rsidP="004D79E6">
      <w:pPr>
        <w:pStyle w:val="ConsPlusNormal"/>
        <w:ind w:firstLine="709"/>
        <w:jc w:val="both"/>
      </w:pPr>
      <w:r>
        <w:t xml:space="preserve">Данный раздел дополнен ситуациями, при которых данный раздел не заполняется. </w:t>
      </w:r>
    </w:p>
    <w:p w:rsidR="004D79E6" w:rsidRPr="004D79E6" w:rsidRDefault="004D79E6" w:rsidP="004D79E6">
      <w:pPr>
        <w:pStyle w:val="ConsPlusNormal"/>
        <w:ind w:firstLine="709"/>
        <w:jc w:val="both"/>
      </w:pPr>
      <w:r w:rsidRPr="004D79E6">
        <w:t xml:space="preserve">- если гражданином, его супругой (супругом) или несовершеннолетними детьми осуществлены расходы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</w:t>
      </w:r>
      <w:hyperlink r:id="rId12" w:history="1">
        <w:r w:rsidRPr="004D79E6">
          <w:t>разделе</w:t>
        </w:r>
      </w:hyperlink>
      <w:r w:rsidRPr="004D79E6">
        <w:t xml:space="preserve"> "Сведения о расходах".</w:t>
      </w:r>
    </w:p>
    <w:p w:rsidR="004D79E6" w:rsidRPr="004D79E6" w:rsidRDefault="004D79E6" w:rsidP="004D79E6">
      <w:pPr>
        <w:pStyle w:val="ConsPlusNormal"/>
        <w:ind w:firstLine="709"/>
        <w:jc w:val="both"/>
      </w:pPr>
      <w:r w:rsidRPr="004D79E6">
        <w:t xml:space="preserve">- 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отражению в </w:t>
      </w:r>
      <w:hyperlink r:id="rId13" w:history="1">
        <w:r w:rsidRPr="004D79E6">
          <w:t>разделе</w:t>
        </w:r>
      </w:hyperlink>
      <w:r w:rsidRPr="004D79E6">
        <w:t xml:space="preserve"> "Сведения о расходах".</w:t>
      </w:r>
    </w:p>
    <w:p w:rsidR="00664008" w:rsidRPr="004D79E6" w:rsidRDefault="00664008" w:rsidP="004D79E6">
      <w:pPr>
        <w:pStyle w:val="ConsPlusNormal"/>
        <w:ind w:firstLine="709"/>
        <w:jc w:val="both"/>
      </w:pPr>
    </w:p>
    <w:p w:rsidR="004D79E6" w:rsidRPr="00AB0E45" w:rsidRDefault="004D79E6" w:rsidP="00DF7FE5">
      <w:pPr>
        <w:pStyle w:val="ConsPlusNormal"/>
        <w:ind w:firstLine="539"/>
        <w:jc w:val="both"/>
        <w:rPr>
          <w:b/>
        </w:rPr>
      </w:pPr>
      <w:r w:rsidRPr="004D79E6">
        <w:t>5</w:t>
      </w:r>
      <w:r>
        <w:t xml:space="preserve">. </w:t>
      </w:r>
      <w:r w:rsidR="00B566F0" w:rsidRPr="00AB0E45">
        <w:rPr>
          <w:b/>
        </w:rPr>
        <w:t>В разделе «</w:t>
      </w:r>
      <w:r w:rsidR="00DF7FE5" w:rsidRPr="00AB0E45">
        <w:rPr>
          <w:b/>
        </w:rPr>
        <w:t>Сведения о счетах в банках и иных кредитных организациях</w:t>
      </w:r>
      <w:r w:rsidR="00B566F0" w:rsidRPr="00AB0E45">
        <w:rPr>
          <w:b/>
        </w:rPr>
        <w:t>»</w:t>
      </w:r>
    </w:p>
    <w:p w:rsidR="00DF7FE5" w:rsidRDefault="00DF7FE5" w:rsidP="00DF7FE5">
      <w:pPr>
        <w:pStyle w:val="ConsPlusNormal"/>
        <w:ind w:firstLine="539"/>
        <w:jc w:val="both"/>
      </w:pPr>
      <w: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>
        <w:t>дств сл</w:t>
      </w:r>
      <w:proofErr w:type="gramEnd"/>
      <w:r>
        <w:t xml:space="preserve">едует обращаться в банк или соответствующую кредитную организацию. </w:t>
      </w:r>
    </w:p>
    <w:p w:rsidR="00AB0E45" w:rsidRDefault="00AB0E45" w:rsidP="00DF7FE5">
      <w:pPr>
        <w:pStyle w:val="ConsPlusNormal"/>
        <w:ind w:firstLine="539"/>
        <w:jc w:val="both"/>
      </w:pPr>
    </w:p>
    <w:p w:rsidR="00DF7FE5" w:rsidRDefault="00DF7FE5" w:rsidP="00DF7FE5">
      <w:pPr>
        <w:pStyle w:val="ConsPlusNormal"/>
        <w:ind w:firstLine="539"/>
        <w:jc w:val="both"/>
      </w:pPr>
      <w:proofErr w:type="gramStart"/>
      <w:r>
        <w:lastRenderedPageBreak/>
        <w:t xml:space="preserve">Банком России издано Указание от 15 апреля 2020 г. </w:t>
      </w:r>
      <w:proofErr w:type="spellStart"/>
      <w:r>
        <w:t>N</w:t>
      </w:r>
      <w:proofErr w:type="spellEnd"/>
      <w:r>
        <w:t xml:space="preserve"> 5440-У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- Указание Банка России), которым, в частности, утверждена единая</w:t>
      </w:r>
      <w:proofErr w:type="gramEnd"/>
      <w:r>
        <w:t xml:space="preserve">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(далее - единая форма).</w:t>
      </w:r>
    </w:p>
    <w:p w:rsidR="00DF7FE5" w:rsidRDefault="00DF7FE5" w:rsidP="00DF7FE5">
      <w:pPr>
        <w:pStyle w:val="ConsPlusNormal"/>
        <w:ind w:firstLine="540"/>
        <w:jc w:val="both"/>
      </w:pPr>
      <w:r>
        <w:t>Одновременно предусматривается возможность получения единой формы с использованием средств дистанционного обслуживания клиента.</w:t>
      </w:r>
    </w:p>
    <w:p w:rsidR="00DF7FE5" w:rsidRDefault="00581FE6" w:rsidP="00DF7FE5">
      <w:pPr>
        <w:pStyle w:val="ConsPlusNormal"/>
        <w:tabs>
          <w:tab w:val="right" w:pos="9355"/>
        </w:tabs>
        <w:ind w:firstLine="540"/>
        <w:jc w:val="both"/>
      </w:pPr>
      <w:r>
        <w:t>Например: с</w:t>
      </w:r>
      <w:r w:rsidR="00DF7FE5">
        <w:t xml:space="preserve">ведения  можно получить через «Сбербанк </w:t>
      </w:r>
      <w:proofErr w:type="spellStart"/>
      <w:r w:rsidR="00DF7FE5">
        <w:t>онлай</w:t>
      </w:r>
      <w:proofErr w:type="spellEnd"/>
      <w:r w:rsidR="00DF7FE5">
        <w:t xml:space="preserve">» </w:t>
      </w:r>
    </w:p>
    <w:p w:rsidR="00581FE6" w:rsidRDefault="00581FE6" w:rsidP="00DF7FE5">
      <w:pPr>
        <w:pStyle w:val="ConsPlusNormal"/>
        <w:tabs>
          <w:tab w:val="left" w:pos="2595"/>
          <w:tab w:val="right" w:pos="9355"/>
        </w:tabs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1.45pt;margin-top:24.55pt;width:24pt;height:0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41.95pt;margin-top:8.9pt;width:24pt;height:.05pt;z-index:251659264" o:connectortype="straight">
            <v:stroke endarrow="block"/>
          </v:shape>
        </w:pict>
      </w:r>
      <w:r w:rsidR="00DF7FE5">
        <w:rPr>
          <w:noProof/>
        </w:rPr>
        <w:pict>
          <v:shape id="_x0000_s1026" type="#_x0000_t32" style="position:absolute;left:0;text-align:left;margin-left:85.2pt;margin-top:8.8pt;width:24pt;height:0;z-index:251658240" o:connectortype="straight">
            <v:stroke endarrow="block"/>
          </v:shape>
        </w:pict>
      </w:r>
      <w:proofErr w:type="gramStart"/>
      <w:r w:rsidR="00DF7FE5">
        <w:t xml:space="preserve">(сервисы         выписки и справки </w:t>
      </w:r>
      <w:r>
        <w:t xml:space="preserve">        в разделе «доступные»  сведения для госслужащих          отчетный период (2020) , отчетная дата (31.12.2020)                </w:t>
      </w:r>
      <w:proofErr w:type="gramEnd"/>
    </w:p>
    <w:p w:rsidR="00581FE6" w:rsidRDefault="00581FE6" w:rsidP="00DF7FE5">
      <w:pPr>
        <w:pStyle w:val="ConsPlusNormal"/>
        <w:tabs>
          <w:tab w:val="left" w:pos="2595"/>
          <w:tab w:val="right" w:pos="9355"/>
        </w:tabs>
        <w:ind w:firstLine="540"/>
        <w:jc w:val="both"/>
      </w:pPr>
      <w:r>
        <w:rPr>
          <w:noProof/>
        </w:rPr>
        <w:pict>
          <v:shape id="_x0000_s1029" type="#_x0000_t32" style="position:absolute;left:0;text-align:left;margin-left:4.2pt;margin-top:9.6pt;width:24pt;height:0;z-index:251661312" o:connectortype="straight">
            <v:stroke endarrow="block"/>
          </v:shape>
        </w:pict>
      </w:r>
      <w:r>
        <w:t xml:space="preserve">   заказать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Получить выписку в разделе «заказанные»)</w:t>
      </w:r>
      <w:proofErr w:type="gramEnd"/>
    </w:p>
    <w:p w:rsidR="00581FE6" w:rsidRDefault="00581FE6" w:rsidP="00DF7FE5">
      <w:pPr>
        <w:pStyle w:val="ConsPlusNormal"/>
        <w:tabs>
          <w:tab w:val="left" w:pos="2595"/>
          <w:tab w:val="right" w:pos="9355"/>
        </w:tabs>
        <w:ind w:firstLine="540"/>
        <w:jc w:val="both"/>
      </w:pPr>
    </w:p>
    <w:p w:rsidR="00581FE6" w:rsidRPr="00AB0E45" w:rsidRDefault="00581FE6" w:rsidP="00581FE6">
      <w:pPr>
        <w:pStyle w:val="ConsPlusTitle"/>
        <w:ind w:firstLine="709"/>
        <w:jc w:val="both"/>
        <w:outlineLvl w:val="0"/>
      </w:pPr>
      <w:r w:rsidRPr="00AB0E45">
        <w:t xml:space="preserve">6. </w:t>
      </w:r>
      <w:proofErr w:type="gramStart"/>
      <w:r w:rsidRPr="00AB0E45">
        <w:t>Методические рекомендации дополнены разделом «Предоставление сведений о цифровых  финансовых активах, цифровых правах, включающих одновременно цифровые финансовые  активы и иные цифровые права, утилитарных цифровых правах</w:t>
      </w:r>
      <w:r w:rsidR="00AB0E45" w:rsidRPr="00AB0E45">
        <w:t xml:space="preserve"> </w:t>
      </w:r>
      <w:r w:rsidRPr="00AB0E45">
        <w:t xml:space="preserve">и цифровой валюте в ходе </w:t>
      </w:r>
      <w:r w:rsidR="00AB0E45" w:rsidRPr="00AB0E45">
        <w:t>кампании 2021 года</w:t>
      </w:r>
      <w:r w:rsidRPr="00AB0E45">
        <w:t>»</w:t>
      </w:r>
      <w:proofErr w:type="gramEnd"/>
    </w:p>
    <w:p w:rsidR="00581FE6" w:rsidRPr="00AB0E45" w:rsidRDefault="00581FE6" w:rsidP="00AB0E45">
      <w:pPr>
        <w:pStyle w:val="ConsPlusNormal"/>
        <w:ind w:firstLine="709"/>
        <w:jc w:val="both"/>
      </w:pPr>
      <w:proofErr w:type="gramStart"/>
      <w:r w:rsidRPr="00AB0E45">
        <w:t xml:space="preserve">В соответствии с </w:t>
      </w:r>
      <w:hyperlink r:id="rId14" w:history="1">
        <w:r w:rsidRPr="00AB0E45">
          <w:t>Указом</w:t>
        </w:r>
      </w:hyperlink>
      <w:r w:rsidRPr="00AB0E45">
        <w:t xml:space="preserve"> Президента Российской Федерации от 10 декабря 2020 г. </w:t>
      </w:r>
      <w:proofErr w:type="spellStart"/>
      <w:r w:rsidRPr="00AB0E45">
        <w:t>N</w:t>
      </w:r>
      <w:proofErr w:type="spellEnd"/>
      <w:r w:rsidRPr="00AB0E45"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</w:t>
      </w:r>
      <w:r w:rsidRPr="00AB0E45">
        <w:rPr>
          <w:b/>
        </w:rPr>
        <w:t>с 1 января по 30 июня 2021</w:t>
      </w:r>
      <w:r w:rsidRPr="00AB0E45">
        <w:t xml:space="preserve"> г. включительно вместе со сведениями, представляемыми по форме </w:t>
      </w:r>
      <w:hyperlink r:id="rId15" w:history="1">
        <w:r w:rsidRPr="00AB0E45">
          <w:t>справки</w:t>
        </w:r>
      </w:hyperlink>
      <w:r w:rsidRPr="00AB0E45">
        <w:t xml:space="preserve">, следующие лица представляют </w:t>
      </w:r>
      <w:hyperlink r:id="rId16" w:history="1">
        <w:r w:rsidRPr="00AB0E45">
          <w:t>уведомление</w:t>
        </w:r>
      </w:hyperlink>
      <w:r w:rsidRPr="00AB0E45">
        <w:t xml:space="preserve"> о принадлежащих</w:t>
      </w:r>
      <w:proofErr w:type="gramEnd"/>
      <w:r w:rsidRPr="00AB0E45">
        <w:t xml:space="preserve"> </w:t>
      </w:r>
      <w:proofErr w:type="gramStart"/>
      <w:r w:rsidRPr="00AB0E45">
        <w:t>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(далее - форма уведомления):</w:t>
      </w:r>
      <w:proofErr w:type="gramEnd"/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1) граждане, претендующие на замещение государственных должностей Российской Федерации (за исключением должностей,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сведений) или должностей федеральной государственной службы;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proofErr w:type="gramStart"/>
      <w:r w:rsidRPr="00AB0E45">
        <w:t xml:space="preserve">2) федеральные государственные служащие, замещающие должности федеральной государственной службы, не предусмотренные </w:t>
      </w:r>
      <w:hyperlink r:id="rId17" w:history="1">
        <w:r w:rsidRPr="00AB0E45">
          <w:t>перечнем</w:t>
        </w:r>
      </w:hyperlink>
      <w:r w:rsidRPr="00AB0E45">
        <w:t xml:space="preserve"> должностей, утвержденным Указом Президента Российской Федерации от 18 мая 2009 г. </w:t>
      </w:r>
      <w:proofErr w:type="spellStart"/>
      <w:r w:rsidRPr="00AB0E45">
        <w:t>N</w:t>
      </w:r>
      <w:proofErr w:type="spellEnd"/>
      <w:r w:rsidRPr="00AB0E45">
        <w:t xml:space="preserve">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Pr="00AB0E45">
        <w:lastRenderedPageBreak/>
        <w:t>о доходах, об имуществе и обязательствах имущественного</w:t>
      </w:r>
      <w:proofErr w:type="gramEnd"/>
      <w:r w:rsidRPr="00AB0E45">
        <w:t xml:space="preserve">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перечнем;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hyperlink r:id="rId18" w:history="1">
        <w:r w:rsidRPr="00AB0E45">
          <w:t>Форма</w:t>
        </w:r>
      </w:hyperlink>
      <w:r w:rsidRPr="00AB0E45">
        <w:t xml:space="preserve"> уведомления заполняется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hyperlink r:id="rId19" w:history="1">
        <w:r w:rsidRPr="00AB0E45">
          <w:t>Форма</w:t>
        </w:r>
      </w:hyperlink>
      <w:r w:rsidRPr="00AB0E45">
        <w:t xml:space="preserve"> уведомления подается в случае наличия у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форма </w:t>
      </w:r>
      <w:hyperlink r:id="rId20" w:history="1">
        <w:r w:rsidRPr="00AB0E45">
          <w:t>уведомления</w:t>
        </w:r>
      </w:hyperlink>
      <w:r w:rsidRPr="00AB0E45">
        <w:t xml:space="preserve"> не подается.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hyperlink r:id="rId21" w:history="1">
        <w:r w:rsidRPr="00AB0E45">
          <w:t>Уведомление</w:t>
        </w:r>
      </w:hyperlink>
      <w:r w:rsidRPr="00AB0E45">
        <w:t xml:space="preserve"> прикладывается к представляемой </w:t>
      </w:r>
      <w:hyperlink r:id="rId22" w:history="1">
        <w:r w:rsidRPr="00AB0E45">
          <w:t>справке</w:t>
        </w:r>
      </w:hyperlink>
      <w:r w:rsidRPr="00AB0E45">
        <w:t xml:space="preserve"> и является приложением к ней. В этой связи </w:t>
      </w:r>
      <w:hyperlink r:id="rId23" w:history="1">
        <w:r w:rsidRPr="00AB0E45">
          <w:t>уведомление</w:t>
        </w:r>
      </w:hyperlink>
      <w:r w:rsidRPr="00AB0E45">
        <w:t xml:space="preserve"> вместе со </w:t>
      </w:r>
      <w:hyperlink r:id="rId24" w:history="1">
        <w:r w:rsidRPr="00AB0E45">
          <w:t>справкой</w:t>
        </w:r>
      </w:hyperlink>
      <w:r w:rsidRPr="00AB0E45">
        <w:t xml:space="preserve"> приобщается к личному делу (при наличии).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Изменения в </w:t>
      </w:r>
      <w:hyperlink r:id="rId25" w:history="1">
        <w:r w:rsidRPr="00AB0E45">
          <w:t>справку</w:t>
        </w:r>
      </w:hyperlink>
      <w:r w:rsidRPr="00AB0E45">
        <w:t xml:space="preserve"> вступают в силу с 1 июля 2021 г., в этой связи в период декларационной кампании лица, представляющие справку заполняют </w:t>
      </w:r>
      <w:hyperlink r:id="rId26" w:history="1">
        <w:r w:rsidRPr="00AB0E45">
          <w:t>справку</w:t>
        </w:r>
      </w:hyperlink>
      <w:r w:rsidRPr="00AB0E45">
        <w:t xml:space="preserve"> в актуальной редакции.</w:t>
      </w:r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Title"/>
        <w:ind w:firstLine="709"/>
        <w:jc w:val="both"/>
        <w:outlineLvl w:val="1"/>
      </w:pPr>
      <w:hyperlink r:id="rId27" w:history="1">
        <w:r w:rsidRPr="00AB0E45">
          <w:t>Раздел</w:t>
        </w:r>
      </w:hyperlink>
      <w:r w:rsidRPr="00AB0E45">
        <w:t xml:space="preserve"> "Цифровые финансовые активы, цифровые права, включающие одновременно цифровые финансовые активы и иные цифровые права" формы уведомления</w:t>
      </w:r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Normal"/>
        <w:ind w:firstLine="709"/>
        <w:jc w:val="both"/>
      </w:pPr>
      <w:proofErr w:type="gramStart"/>
      <w:r w:rsidRPr="00AB0E45">
        <w:t xml:space="preserve">В соответствии со </w:t>
      </w:r>
      <w:hyperlink r:id="rId28" w:history="1">
        <w:r w:rsidRPr="00AB0E45">
          <w:t>статьей 1</w:t>
        </w:r>
      </w:hyperlink>
      <w:r w:rsidRPr="00AB0E45">
        <w:t xml:space="preserve"> Федерального закона от 31 июля 2020 г. </w:t>
      </w:r>
      <w:proofErr w:type="spellStart"/>
      <w:r w:rsidRPr="00AB0E45">
        <w:t>N</w:t>
      </w:r>
      <w:proofErr w:type="spellEnd"/>
      <w:r w:rsidRPr="00AB0E45">
        <w:t xml:space="preserve"> 259-ФЗ "О цифровых финансовых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</w:t>
      </w:r>
      <w:proofErr w:type="gramEnd"/>
      <w:r w:rsidRPr="00AB0E45">
        <w:t xml:space="preserve"> предусмотрены решением о выпуске цифровых финансовых активов в порядке, установленном указанным Федеральным </w:t>
      </w:r>
      <w:hyperlink r:id="rId29" w:history="1">
        <w:r w:rsidRPr="00AB0E45">
          <w:t>законом</w:t>
        </w:r>
      </w:hyperlink>
      <w:r w:rsidRPr="00AB0E45">
        <w:t>, выпуск, 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</w:t>
      </w:r>
      <w:hyperlink r:id="rId30" w:history="1">
        <w:r w:rsidRPr="00AB0E45">
          <w:t>закона</w:t>
        </w:r>
      </w:hyperlink>
      <w:r w:rsidRPr="00AB0E45">
        <w:t xml:space="preserve"> к выпуску, учету и обращению цифровых финансовых активов.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К иным цифровым правам могут быть отнесены утилитарные цифровые права.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proofErr w:type="gramStart"/>
      <w:r w:rsidRPr="00AB0E45">
        <w:t xml:space="preserve">В </w:t>
      </w:r>
      <w:hyperlink r:id="rId31" w:history="1">
        <w:r w:rsidRPr="00AB0E45">
          <w:t>графе</w:t>
        </w:r>
      </w:hyperlink>
      <w:r w:rsidRPr="00AB0E45">
        <w:t xml:space="preserve"> "Наименование цифрового финансового актива или цифрового права" указываются наименование цифрового финансового актива (если его нельзя определить, указываются вид и объем прав, удостоверяемых </w:t>
      </w:r>
      <w:r w:rsidRPr="00AB0E45">
        <w:lastRenderedPageBreak/>
        <w:t>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</w:t>
      </w:r>
      <w:proofErr w:type="gramEnd"/>
      <w:r w:rsidRPr="00AB0E45">
        <w:t xml:space="preserve"> видов иных цифровых прав).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proofErr w:type="gramStart"/>
      <w:r w:rsidRPr="00AB0E45">
        <w:t xml:space="preserve">В </w:t>
      </w:r>
      <w:hyperlink r:id="rId32" w:history="1">
        <w:r w:rsidRPr="00AB0E45">
          <w:t>графе</w:t>
        </w:r>
      </w:hyperlink>
      <w:r w:rsidRPr="00AB0E45">
        <w:t xml:space="preserve"> "Сведения об операторе информационной системы, в которой осуществляется выпуск цифровых финансовых активов"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proofErr w:type="gramEnd"/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Title"/>
        <w:ind w:firstLine="709"/>
        <w:jc w:val="both"/>
        <w:outlineLvl w:val="1"/>
      </w:pPr>
      <w:hyperlink r:id="rId33" w:history="1">
        <w:r w:rsidRPr="00AB0E45">
          <w:t>Раздел</w:t>
        </w:r>
      </w:hyperlink>
      <w:r w:rsidRPr="00AB0E45">
        <w:t xml:space="preserve"> "Утилитарные цифровые права" формы уведомления</w:t>
      </w:r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Normal"/>
        <w:ind w:firstLine="709"/>
        <w:jc w:val="both"/>
      </w:pPr>
      <w:r w:rsidRPr="00AB0E45">
        <w:t xml:space="preserve">В соответствии со </w:t>
      </w:r>
      <w:hyperlink r:id="rId34" w:history="1">
        <w:r w:rsidRPr="00AB0E45">
          <w:t>статьей 8</w:t>
        </w:r>
      </w:hyperlink>
      <w:r w:rsidRPr="00AB0E45">
        <w:t xml:space="preserve"> Федерального закона от 2 августа 2019 г. </w:t>
      </w:r>
      <w:proofErr w:type="spellStart"/>
      <w:r w:rsidRPr="00AB0E45">
        <w:t>N</w:t>
      </w:r>
      <w:proofErr w:type="spellEnd"/>
      <w:r w:rsidRPr="00AB0E45">
        <w:t xml:space="preserve">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утилитарные цифровые права могут включать: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1) право требовать передачи вещи (вещей);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2) 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деятельности;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3) право требовать выполнения работ и (или) оказания услуг.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 </w:t>
      </w:r>
      <w:hyperlink r:id="rId35" w:history="1">
        <w:r w:rsidRPr="00AB0E45">
          <w:t>графе</w:t>
        </w:r>
      </w:hyperlink>
      <w:r w:rsidRPr="00AB0E45">
        <w:t xml:space="preserve"> 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 </w:t>
      </w:r>
      <w:hyperlink r:id="rId36" w:history="1">
        <w:r w:rsidRPr="00AB0E45">
          <w:t>графе</w:t>
        </w:r>
      </w:hyperlink>
      <w:r w:rsidRPr="00AB0E45">
        <w:t xml:space="preserve"> "Объем инвестиций (руб.)" указывается объем инвестиций в рублях в соответствии с договором инвестирования. Для инвестиции, выраженных в иностранной валюте, указывается в рублях по курсу Банка России на дату осуществления инвестиций.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>Под инвестициями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 </w:t>
      </w:r>
      <w:hyperlink r:id="rId37" w:history="1">
        <w:r w:rsidRPr="00AB0E45">
          <w:t>графе</w:t>
        </w:r>
      </w:hyperlink>
      <w:r w:rsidRPr="00AB0E45">
        <w:t xml:space="preserve"> "Сведения об операторе инвестиционной платформы"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AB0E45" w:rsidRDefault="00AB0E45" w:rsidP="00AB0E45">
      <w:pPr>
        <w:pStyle w:val="ConsPlusNormal"/>
        <w:spacing w:before="280"/>
        <w:ind w:firstLine="709"/>
        <w:jc w:val="both"/>
      </w:pP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lastRenderedPageBreak/>
        <w:t>Реестр операторов инвестиционных платформ размещен на официальном сайте Банка России по ссылке: http://www.cbr.ru/finm_infrastructure/oper/.</w:t>
      </w:r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Title"/>
        <w:ind w:firstLine="709"/>
        <w:jc w:val="both"/>
        <w:outlineLvl w:val="1"/>
      </w:pPr>
      <w:hyperlink r:id="rId38" w:history="1">
        <w:r w:rsidRPr="00AB0E45">
          <w:t>Раздел</w:t>
        </w:r>
      </w:hyperlink>
      <w:r w:rsidRPr="00AB0E45">
        <w:t xml:space="preserve"> "Цифровая валюта" формы уведомления</w:t>
      </w:r>
    </w:p>
    <w:p w:rsidR="00581FE6" w:rsidRPr="00AB0E45" w:rsidRDefault="00581FE6" w:rsidP="00AB0E45">
      <w:pPr>
        <w:pStyle w:val="ConsPlusNormal"/>
        <w:ind w:firstLine="709"/>
        <w:jc w:val="both"/>
      </w:pPr>
    </w:p>
    <w:p w:rsidR="00581FE6" w:rsidRPr="00AB0E45" w:rsidRDefault="00581FE6" w:rsidP="00AB0E45">
      <w:pPr>
        <w:pStyle w:val="ConsPlusNormal"/>
        <w:ind w:firstLine="709"/>
        <w:jc w:val="both"/>
      </w:pPr>
      <w:r w:rsidRPr="00AB0E45">
        <w:t xml:space="preserve"> </w:t>
      </w:r>
      <w:proofErr w:type="gramStart"/>
      <w:r w:rsidRPr="00AB0E45">
        <w:t xml:space="preserve">В соответствии со </w:t>
      </w:r>
      <w:hyperlink r:id="rId39" w:history="1">
        <w:r w:rsidRPr="00AB0E45">
          <w:t>статьей 1</w:t>
        </w:r>
      </w:hyperlink>
      <w:r w:rsidRPr="00AB0E45">
        <w:t xml:space="preserve"> Федерального закона от 31 июля 2020 г. </w:t>
      </w:r>
      <w:proofErr w:type="spellStart"/>
      <w:r w:rsidRPr="00AB0E45">
        <w:t>N</w:t>
      </w:r>
      <w:proofErr w:type="spellEnd"/>
      <w:r w:rsidRPr="00AB0E45">
        <w:t xml:space="preserve"> 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</w:t>
      </w:r>
      <w:proofErr w:type="gramEnd"/>
      <w:r w:rsidRPr="00AB0E45">
        <w:t xml:space="preserve"> </w:t>
      </w:r>
      <w:proofErr w:type="gramStart"/>
      <w:r w:rsidRPr="00AB0E45">
        <w:t>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</w:t>
      </w:r>
      <w:proofErr w:type="gramEnd"/>
      <w:r w:rsidRPr="00AB0E45">
        <w:t xml:space="preserve"> систему ее правилам.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proofErr w:type="gramStart"/>
      <w:r w:rsidRPr="00AB0E45">
        <w:t xml:space="preserve">Лицам, указанным в </w:t>
      </w:r>
      <w:hyperlink r:id="rId40" w:history="1">
        <w:r w:rsidRPr="00AB0E45">
          <w:t>пунктах 1</w:t>
        </w:r>
      </w:hyperlink>
      <w:r w:rsidRPr="00AB0E45">
        <w:t xml:space="preserve"> и </w:t>
      </w:r>
      <w:hyperlink r:id="rId41" w:history="1">
        <w:r w:rsidRPr="00AB0E45">
          <w:t>2 части 1 статьи 2</w:t>
        </w:r>
      </w:hyperlink>
      <w:r w:rsidRPr="00AB0E45">
        <w:t xml:space="preserve"> Федерального закона от 7 мая 2013 г. </w:t>
      </w:r>
      <w:proofErr w:type="spellStart"/>
      <w:r w:rsidRPr="00AB0E45">
        <w:t>N</w:t>
      </w:r>
      <w:proofErr w:type="spellEnd"/>
      <w:r w:rsidRPr="00AB0E45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Федерации", с 1 января 2021 г. запрещено владеть и (или) пользоваться цифровыми финансовыми активами, выпущенными в</w:t>
      </w:r>
      <w:proofErr w:type="gramEnd"/>
      <w:r w:rsidRPr="00AB0E45">
        <w:t xml:space="preserve"> информационных </w:t>
      </w:r>
      <w:proofErr w:type="gramStart"/>
      <w:r w:rsidRPr="00AB0E45">
        <w:t>системах</w:t>
      </w:r>
      <w:proofErr w:type="gramEnd"/>
      <w:r w:rsidRPr="00AB0E45">
        <w:t>, организационных в соответствии с иностранным правом, а также цифровой валютой.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 </w:t>
      </w:r>
      <w:hyperlink r:id="rId42" w:history="1">
        <w:r w:rsidRPr="00AB0E45">
          <w:t>графе</w:t>
        </w:r>
      </w:hyperlink>
      <w:r w:rsidRPr="00AB0E45">
        <w:t xml:space="preserve"> "Наименование цифровой валюты" указывается наименование цифровой валюты в соответствии с применимыми документами (без произвольной транслитерации).</w:t>
      </w:r>
    </w:p>
    <w:p w:rsidR="00581FE6" w:rsidRPr="00AB0E45" w:rsidRDefault="00581FE6" w:rsidP="00AB0E45">
      <w:pPr>
        <w:pStyle w:val="ConsPlusNormal"/>
        <w:spacing w:before="280"/>
        <w:ind w:firstLine="709"/>
        <w:jc w:val="both"/>
      </w:pPr>
      <w:r w:rsidRPr="00AB0E45">
        <w:t xml:space="preserve">В </w:t>
      </w:r>
      <w:hyperlink r:id="rId43" w:history="1">
        <w:r w:rsidRPr="00AB0E45">
          <w:t>графе</w:t>
        </w:r>
      </w:hyperlink>
      <w:r w:rsidRPr="00AB0E45">
        <w:t xml:space="preserve"> "Общее количество" указывается точное количество цифровой валюты, находящейся в собственности (без округления).</w:t>
      </w:r>
    </w:p>
    <w:p w:rsidR="00DF7FE5" w:rsidRPr="00AB0E45" w:rsidRDefault="00DF7FE5" w:rsidP="00AB0E45">
      <w:pPr>
        <w:pStyle w:val="ConsPlusNormal"/>
        <w:ind w:firstLine="709"/>
        <w:jc w:val="both"/>
      </w:pPr>
    </w:p>
    <w:p w:rsidR="00664008" w:rsidRPr="00AB0E45" w:rsidRDefault="00664008" w:rsidP="00AB0E45">
      <w:pPr>
        <w:pStyle w:val="ConsPlusNormal"/>
        <w:ind w:firstLine="709"/>
        <w:jc w:val="both"/>
        <w:rPr>
          <w:i/>
        </w:rPr>
      </w:pPr>
    </w:p>
    <w:p w:rsidR="00664008" w:rsidRPr="00AB0E45" w:rsidRDefault="00AB0E45" w:rsidP="00AB0E45">
      <w:pPr>
        <w:pStyle w:val="ConsPlusNormal"/>
        <w:ind w:firstLine="709"/>
        <w:jc w:val="center"/>
        <w:rPr>
          <w:i/>
        </w:rPr>
      </w:pPr>
      <w:r>
        <w:rPr>
          <w:i/>
        </w:rPr>
        <w:t>_____________</w:t>
      </w:r>
    </w:p>
    <w:sectPr w:rsidR="00664008" w:rsidRPr="00AB0E45" w:rsidSect="00AB0E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25F"/>
    <w:multiLevelType w:val="hybridMultilevel"/>
    <w:tmpl w:val="C1F0A40E"/>
    <w:lvl w:ilvl="0" w:tplc="FBB4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33"/>
    <w:rsid w:val="00045A33"/>
    <w:rsid w:val="0007655E"/>
    <w:rsid w:val="000B3C07"/>
    <w:rsid w:val="00466774"/>
    <w:rsid w:val="004D79E6"/>
    <w:rsid w:val="00551F22"/>
    <w:rsid w:val="00581FE6"/>
    <w:rsid w:val="00627059"/>
    <w:rsid w:val="00645CF0"/>
    <w:rsid w:val="00664008"/>
    <w:rsid w:val="006B0A1F"/>
    <w:rsid w:val="006D420B"/>
    <w:rsid w:val="00715CC1"/>
    <w:rsid w:val="00724923"/>
    <w:rsid w:val="00767F1D"/>
    <w:rsid w:val="00934434"/>
    <w:rsid w:val="00AB0E45"/>
    <w:rsid w:val="00AD26B4"/>
    <w:rsid w:val="00B2767C"/>
    <w:rsid w:val="00B566F0"/>
    <w:rsid w:val="00C656DA"/>
    <w:rsid w:val="00CB34A8"/>
    <w:rsid w:val="00DF7FE5"/>
    <w:rsid w:val="00E045A1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A8"/>
    <w:pPr>
      <w:ind w:left="720"/>
      <w:contextualSpacing/>
    </w:pPr>
  </w:style>
  <w:style w:type="paragraph" w:customStyle="1" w:styleId="ConsPlusNormal">
    <w:name w:val="ConsPlusNormal"/>
    <w:rsid w:val="00767F1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81FE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D25883A1E640BC5FF61D5DFA2BD875717D2D477281064877A01D33EDA2CA433CA4914AA850115544B60E8BH7c2B" TargetMode="External"/><Relationship Id="rId13" Type="http://schemas.openxmlformats.org/officeDocument/2006/relationships/hyperlink" Target="consultantplus://offline/ref=EE01D25883A1E640BC5FF61D5DFA2BD875707D25457B81064877A01D33EDA2CA513CFC9D48AC4E165451E05FCD26CD52F8DBF9796E856DABHAcDB" TargetMode="External"/><Relationship Id="rId18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26" Type="http://schemas.openxmlformats.org/officeDocument/2006/relationships/hyperlink" Target="consultantplus://offline/ref=EE01D25883A1E640BC5FF61D5DFA2BD875707D25457B81064877A01D33EDA2CA513CFC9D48AC4E155251E05FCD26CD52F8DBF9796E856DABHAcDB" TargetMode="External"/><Relationship Id="rId39" Type="http://schemas.openxmlformats.org/officeDocument/2006/relationships/hyperlink" Target="consultantplus://offline/ref=EE01D25883A1E640BC5FF61D5DFA2BD875717622467181064877A01D33EDA2CA513CFC9D48AC4E115F51E05FCD26CD52F8DBF9796E856DABHAc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34" Type="http://schemas.openxmlformats.org/officeDocument/2006/relationships/hyperlink" Target="consultantplus://offline/ref=EE01D25883A1E640BC5FF61D5DFA2BD87571762D457181064877A01D33EDA2CA513CFC9943F81F550257B60A9773C24EFEC5FBH7cAB" TargetMode="External"/><Relationship Id="rId42" Type="http://schemas.openxmlformats.org/officeDocument/2006/relationships/hyperlink" Target="consultantplus://offline/ref=EE01D25883A1E640BC5FF61D5DFA2BD875737E20467681064877A01D33EDA2CA513CFC9D48AC4E145551E05FCD26CD52F8DBF9796E856DABHAcDB" TargetMode="External"/><Relationship Id="rId7" Type="http://schemas.openxmlformats.org/officeDocument/2006/relationships/hyperlink" Target="consultantplus://offline/ref=EE01D25883A1E640BC5FF61D5DFA2BD875717C24447281064877A01D33EDA2CA433CA4914AA850115544B60E8BH7c2B" TargetMode="External"/><Relationship Id="rId12" Type="http://schemas.openxmlformats.org/officeDocument/2006/relationships/hyperlink" Target="consultantplus://offline/ref=EE01D25883A1E640BC5FF61D5DFA2BD875707D25457B81064877A01D33EDA2CA513CFC9D48AC4E165451E05FCD26CD52F8DBF9796E856DABHAcDB" TargetMode="External"/><Relationship Id="rId17" Type="http://schemas.openxmlformats.org/officeDocument/2006/relationships/hyperlink" Target="consultantplus://offline/ref=EE01D25883A1E640BC5FF61D5DFA2BD875737F22427181064877A01D33EDA2CA513CFC9D48AC4C105251E05FCD26CD52F8DBF9796E856DABHAcDB" TargetMode="External"/><Relationship Id="rId25" Type="http://schemas.openxmlformats.org/officeDocument/2006/relationships/hyperlink" Target="consultantplus://offline/ref=EE01D25883A1E640BC5FF61D5DFA2BD875707D25457B81064877A01D33EDA2CA513CFC9D48AC4E155251E05FCD26CD52F8DBF9796E856DABHAcDB" TargetMode="External"/><Relationship Id="rId33" Type="http://schemas.openxmlformats.org/officeDocument/2006/relationships/hyperlink" Target="consultantplus://offline/ref=EE01D25883A1E640BC5FF61D5DFA2BD875737E20467681064877A01D33EDA2CA513CFC9D48AC4E125351E05FCD26CD52F8DBF9796E856DABHAcDB" TargetMode="External"/><Relationship Id="rId38" Type="http://schemas.openxmlformats.org/officeDocument/2006/relationships/hyperlink" Target="consultantplus://offline/ref=EE01D25883A1E640BC5FF61D5DFA2BD875737E20467681064877A01D33EDA2CA513CFC9D48AC4E145751E05FCD26CD52F8DBF9796E856DABHAc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20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29" Type="http://schemas.openxmlformats.org/officeDocument/2006/relationships/hyperlink" Target="consultantplus://offline/ref=EE01D25883A1E640BC5FF61D5DFA2BD875717622467181064877A01D33EDA2CA433CA4914AA850115544B60E8BH7c2B" TargetMode="External"/><Relationship Id="rId41" Type="http://schemas.openxmlformats.org/officeDocument/2006/relationships/hyperlink" Target="consultantplus://offline/ref=EE01D25883A1E640BC5FF61D5DFA2BD875717725457681064877A01D33EDA2CA513CFC9D48AC4E165351E05FCD26CD52F8DBF9796E856DABHAcD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1D25883A1E640BC5FF61D5DFA2BD875707624407681064877A01D33EDA2CA433CA4914AA850115544B60E8BH7c2B" TargetMode="External"/><Relationship Id="rId11" Type="http://schemas.openxmlformats.org/officeDocument/2006/relationships/hyperlink" Target="consultantplus://offline/ref=EE01D25883A1E640BC5FF61D5DFA2BD875707D25457B81064877A01D33EDA2CA513CFC9D48AC4E155E51E05FCD26CD52F8DBF9796E856DABHAcDB" TargetMode="External"/><Relationship Id="rId24" Type="http://schemas.openxmlformats.org/officeDocument/2006/relationships/hyperlink" Target="consultantplus://offline/ref=EE01D25883A1E640BC5FF61D5DFA2BD875707D25457B81064877A01D33EDA2CA513CFC9D48AC4E155251E05FCD26CD52F8DBF9796E856DABHAcDB" TargetMode="External"/><Relationship Id="rId32" Type="http://schemas.openxmlformats.org/officeDocument/2006/relationships/hyperlink" Target="consultantplus://offline/ref=EE01D25883A1E640BC5FF61D5DFA2BD875737E20467681064877A01D33EDA2CA513CFC9D48AC4E135351E05FCD26CD52F8DBF9796E856DABHAcDB" TargetMode="External"/><Relationship Id="rId37" Type="http://schemas.openxmlformats.org/officeDocument/2006/relationships/hyperlink" Target="consultantplus://offline/ref=EE01D25883A1E640BC5FF61D5DFA2BD875737E20467681064877A01D33EDA2CA513CFC9D48AC4E125E51E05FCD26CD52F8DBF9796E856DABHAcDB" TargetMode="External"/><Relationship Id="rId40" Type="http://schemas.openxmlformats.org/officeDocument/2006/relationships/hyperlink" Target="consultantplus://offline/ref=EE01D25883A1E640BC5FF61D5DFA2BD875717725457681064877A01D33EDA2CA513CFC9D48AC4E105551E05FCD26CD52F8DBF9796E856DABHAcD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7BCCDE5BB06E552D92DA288BCEBE99E55FC18A45EB999A14917A428F1F50CB7BAA842B6A9699D9E548362078B736CC39B4035D8079B2A15tEyFB" TargetMode="External"/><Relationship Id="rId15" Type="http://schemas.openxmlformats.org/officeDocument/2006/relationships/hyperlink" Target="consultantplus://offline/ref=EE01D25883A1E640BC5FF61D5DFA2BD875707D25457B81064877A01D33EDA2CA513CFC9D48AC4E155251E05FCD26CD52F8DBF9796E856DABHAcDB" TargetMode="External"/><Relationship Id="rId23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28" Type="http://schemas.openxmlformats.org/officeDocument/2006/relationships/hyperlink" Target="consultantplus://offline/ref=EE01D25883A1E640BC5FF61D5DFA2BD875717622467181064877A01D33EDA2CA513CFC9D48AC4E115F51E05FCD26CD52F8DBF9796E856DABHAcDB" TargetMode="External"/><Relationship Id="rId36" Type="http://schemas.openxmlformats.org/officeDocument/2006/relationships/hyperlink" Target="consultantplus://offline/ref=EE01D25883A1E640BC5FF61D5DFA2BD875737E20467681064877A01D33EDA2CA513CFC9D48AC4E125F51E05FCD26CD52F8DBF9796E856DABHAcDB" TargetMode="External"/><Relationship Id="rId10" Type="http://schemas.openxmlformats.org/officeDocument/2006/relationships/hyperlink" Target="consultantplus://offline/ref=EE01D25883A1E640BC5FF61D5DFA2BD875737F27417781064877A01D33EDA2CA433CA4914AA850115544B60E8BH7c2B" TargetMode="External"/><Relationship Id="rId19" Type="http://schemas.openxmlformats.org/officeDocument/2006/relationships/hyperlink" Target="consultantplus://offline/ref=EE01D25883A1E640BC5FF61D5DFA2BD875737E20467681064877A01D33EDA2CA513CFC9D48AC4E105051E05FCD26CD52F8DBF9796E856DABHAcDB" TargetMode="External"/><Relationship Id="rId31" Type="http://schemas.openxmlformats.org/officeDocument/2006/relationships/hyperlink" Target="consultantplus://offline/ref=EE01D25883A1E640BC5FF61D5DFA2BD875737E20467681064877A01D33EDA2CA513CFC9D48AC4E135651E05FCD26CD52F8DBF9796E856DABHAcD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D25883A1E640BC5FF61D5DFA2BD875717B23407281064877A01D33EDA2CA433CA4914AA850115544B60E8BH7c2B" TargetMode="External"/><Relationship Id="rId14" Type="http://schemas.openxmlformats.org/officeDocument/2006/relationships/hyperlink" Target="consultantplus://offline/ref=EE01D25883A1E640BC5FF61D5DFA2BD875737E20467681064877A01D33EDA2CA433CA4914AA850115544B60E8BH7c2B" TargetMode="External"/><Relationship Id="rId22" Type="http://schemas.openxmlformats.org/officeDocument/2006/relationships/hyperlink" Target="consultantplus://offline/ref=EE01D25883A1E640BC5FF61D5DFA2BD875707D25457B81064877A01D33EDA2CA513CFC9D48AC4E155251E05FCD26CD52F8DBF9796E856DABHAcDB" TargetMode="External"/><Relationship Id="rId27" Type="http://schemas.openxmlformats.org/officeDocument/2006/relationships/hyperlink" Target="consultantplus://offline/ref=EE01D25883A1E640BC5FF61D5DFA2BD875737E20467681064877A01D33EDA2CA513CFC9D48AC4E105E51E05FCD26CD52F8DBF9796E856DABHAcDB" TargetMode="External"/><Relationship Id="rId30" Type="http://schemas.openxmlformats.org/officeDocument/2006/relationships/hyperlink" Target="consultantplus://offline/ref=EE01D25883A1E640BC5FF61D5DFA2BD875717622467181064877A01D33EDA2CA433CA4914AA850115544B60E8BH7c2B" TargetMode="External"/><Relationship Id="rId35" Type="http://schemas.openxmlformats.org/officeDocument/2006/relationships/hyperlink" Target="consultantplus://offline/ref=EE01D25883A1E640BC5FF61D5DFA2BD875737E20467681064877A01D33EDA2CA513CFC9D48AC4E125151E05FCD26CD52F8DBF9796E856DABHAcDB" TargetMode="External"/><Relationship Id="rId43" Type="http://schemas.openxmlformats.org/officeDocument/2006/relationships/hyperlink" Target="consultantplus://offline/ref=EE01D25883A1E640BC5FF61D5DFA2BD875737E20467681064877A01D33EDA2CA513CFC9D48AC4E145351E05FCD26CD52F8DBF9796E856DABHA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6</cp:revision>
  <cp:lastPrinted>2021-02-24T02:41:00Z</cp:lastPrinted>
  <dcterms:created xsi:type="dcterms:W3CDTF">2021-02-23T23:16:00Z</dcterms:created>
  <dcterms:modified xsi:type="dcterms:W3CDTF">2021-02-24T02:46:00Z</dcterms:modified>
</cp:coreProperties>
</file>